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DF" w:rsidRDefault="00803EDF"/>
    <w:p w:rsidR="00B26935" w:rsidRDefault="00B26935"/>
    <w:p w:rsidR="00B26935" w:rsidRDefault="00B26935"/>
    <w:p w:rsidR="00B26935" w:rsidRDefault="00B26935" w:rsidP="00B26935">
      <w:pPr>
        <w:jc w:val="center"/>
      </w:pPr>
      <w:r w:rsidRPr="00B26935">
        <w:drawing>
          <wp:inline distT="0" distB="0" distL="0" distR="0">
            <wp:extent cx="2419350" cy="1314450"/>
            <wp:effectExtent l="19050" t="0" r="0" b="0"/>
            <wp:docPr id="4" name="Image 2" descr="E:\1. Identité de l'organisation\1.Charte graphique CNFCE\logo fond bleu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Identité de l'organisation\1.Charte graphique CNFCE\logo fond bleu P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35" w:rsidRDefault="00B26935"/>
    <w:p w:rsidR="00B26935" w:rsidRDefault="00B26935" w:rsidP="00B26935">
      <w:pPr>
        <w:rPr>
          <w:rFonts w:asciiTheme="majorBidi" w:hAnsiTheme="majorBidi" w:cstheme="majorBidi"/>
          <w:color w:val="1D2129"/>
          <w:sz w:val="28"/>
          <w:szCs w:val="28"/>
        </w:rPr>
      </w:pPr>
    </w:p>
    <w:p w:rsidR="00B26935" w:rsidRPr="00B26935" w:rsidRDefault="00B26935" w:rsidP="00B26935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  <w:lang w:val="en-US"/>
        </w:rPr>
      </w:pPr>
      <w:r w:rsidRPr="00B26935">
        <w:rPr>
          <w:rFonts w:asciiTheme="majorBidi" w:hAnsiTheme="majorBidi" w:cstheme="majorBidi"/>
          <w:b/>
          <w:bCs/>
          <w:color w:val="1F497D" w:themeColor="text2"/>
          <w:sz w:val="40"/>
          <w:szCs w:val="40"/>
          <w:lang w:val="en-US"/>
        </w:rPr>
        <w:t>Aida Béji Kallel</w:t>
      </w:r>
    </w:p>
    <w:p w:rsidR="00B26935" w:rsidRPr="00B26935" w:rsidRDefault="00B26935" w:rsidP="00B26935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  <w:lang w:val="en-US"/>
        </w:rPr>
      </w:pPr>
      <w:r w:rsidRPr="00B26935"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  <w:lang w:val="en-US"/>
        </w:rPr>
        <w:t>Membre BE</w:t>
      </w:r>
    </w:p>
    <w:p w:rsidR="00B26935" w:rsidRPr="00B26935" w:rsidRDefault="00B26935" w:rsidP="00B26935">
      <w:pPr>
        <w:rPr>
          <w:rFonts w:asciiTheme="majorBidi" w:hAnsiTheme="majorBidi" w:cstheme="majorBidi"/>
          <w:color w:val="1D2129"/>
          <w:sz w:val="28"/>
          <w:szCs w:val="28"/>
          <w:lang w:val="en-US"/>
        </w:rPr>
      </w:pPr>
    </w:p>
    <w:p w:rsidR="00B26935" w:rsidRPr="00B26935" w:rsidRDefault="00B26935" w:rsidP="00B26935">
      <w:pPr>
        <w:rPr>
          <w:rFonts w:asciiTheme="majorBidi" w:hAnsiTheme="majorBidi" w:cstheme="majorBidi"/>
          <w:color w:val="1F497D" w:themeColor="text2"/>
        </w:rPr>
      </w:pPr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Avec une maitrise finance en hautes études commerciales, un DEA en économie mathématique et économétrie et une carrière de 13 ans dans l’enseignement universitaire à l’IHEC Carthage et trois ans de postes de responsable commerciale</w:t>
      </w:r>
      <w:bookmarkStart w:id="0" w:name="_GoBack"/>
      <w:bookmarkEnd w:id="0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dans des groupes de sociétés privées, Aïda </w:t>
      </w:r>
      <w:proofErr w:type="spell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Béji</w:t>
      </w:r>
      <w:proofErr w:type="spellEnd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Kallel crée son cabinet de formation continue et de conseil INSIGHT en 2008. Etant certifiée conseillère en compétitivité et conseillère export et </w:t>
      </w:r>
      <w:proofErr w:type="spell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virtual</w:t>
      </w:r>
      <w:proofErr w:type="spellEnd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</w:t>
      </w:r>
      <w:proofErr w:type="spell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market</w:t>
      </w:r>
      <w:proofErr w:type="spellEnd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place par le centre de commerce international de Genève, elle a assisté et accompagné au développement des exportations de plusieurs  sociétés opérant dans divers domaines et filières et particulièrement en agro-alimentaire, Tic et artisanat. Elle a suivi plusieurs formations par la BERD et l’OIT (</w:t>
      </w:r>
      <w:proofErr w:type="spell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leaderschip</w:t>
      </w:r>
      <w:proofErr w:type="spellEnd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, marketing et vente des métiers de service, gestion de projet.</w:t>
      </w:r>
    </w:p>
    <w:p w:rsidR="00B26935" w:rsidRPr="00B26935" w:rsidRDefault="00B26935" w:rsidP="00B26935">
      <w:pPr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Fortement engagée dans la société civile, adhérente depuis 10 ans à la CNFCE, elle était </w:t>
      </w:r>
      <w:proofErr w:type="gram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rapporteur</w:t>
      </w:r>
      <w:proofErr w:type="gramEnd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lors du congrès mondial des femmes chefs d’entreprise dont le thème portait sur l’économie sociale et solidaire. Elle a contribué à la création de l’académie des femmes chefs d’entreprise. Elle a travaillé  sur des projets liés avec plusieurs organismes tels </w:t>
      </w:r>
      <w:proofErr w:type="gram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que </w:t>
      </w:r>
      <w:proofErr w:type="spell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Afaemme</w:t>
      </w:r>
      <w:proofErr w:type="spellEnd"/>
      <w:proofErr w:type="gramEnd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, vital </w:t>
      </w:r>
      <w:proofErr w:type="spellStart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voices</w:t>
      </w:r>
      <w:proofErr w:type="spellEnd"/>
      <w:r w:rsidRPr="00B26935">
        <w:rPr>
          <w:rFonts w:asciiTheme="majorBidi" w:hAnsiTheme="majorBidi" w:cstheme="majorBidi"/>
          <w:color w:val="1F497D" w:themeColor="text2"/>
          <w:sz w:val="28"/>
          <w:szCs w:val="28"/>
        </w:rPr>
        <w:t>.</w:t>
      </w:r>
    </w:p>
    <w:p w:rsidR="00B26935" w:rsidRDefault="00B26935"/>
    <w:sectPr w:rsidR="00B26935" w:rsidSect="0080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6935"/>
    <w:rsid w:val="00803EDF"/>
    <w:rsid w:val="00B2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2019-08-22T12:25:00Z</dcterms:created>
  <dcterms:modified xsi:type="dcterms:W3CDTF">2019-08-22T12:26:00Z</dcterms:modified>
</cp:coreProperties>
</file>